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1F" w:rsidRPr="00E20054" w:rsidRDefault="001F0B1F" w:rsidP="001F0B1F">
      <w:pPr>
        <w:pStyle w:val="Encabezado"/>
        <w:rPr>
          <w:rFonts w:ascii="Times New Roman" w:hAnsi="Times New Roman" w:cs="Times New Roman"/>
          <w:b/>
          <w:bCs/>
          <w:lang w:val="es-ES"/>
        </w:rPr>
      </w:pPr>
      <w:r w:rsidRPr="00E20054">
        <w:rPr>
          <w:rFonts w:ascii="Times New Roman" w:hAnsi="Times New Roman" w:cs="Times New Roman"/>
          <w:b/>
          <w:bCs/>
          <w:lang w:val="es-ES"/>
        </w:rPr>
        <w:t>Apellido y nombre........................................................................................................................DNI..........................</w:t>
      </w:r>
    </w:p>
    <w:p w:rsidR="001F0B1F" w:rsidRPr="00E20054" w:rsidRDefault="001F0B1F" w:rsidP="001F0B1F">
      <w:pPr>
        <w:pStyle w:val="Encabezado"/>
        <w:rPr>
          <w:rFonts w:ascii="Times New Roman" w:hAnsi="Times New Roman" w:cs="Times New Roman"/>
          <w:b/>
          <w:bCs/>
          <w:lang w:val="es-ES"/>
        </w:rPr>
      </w:pPr>
      <w:r w:rsidRPr="00E20054">
        <w:rPr>
          <w:rFonts w:ascii="Times New Roman" w:hAnsi="Times New Roman" w:cs="Times New Roman"/>
          <w:b/>
          <w:bCs/>
          <w:lang w:val="es-ES"/>
        </w:rPr>
        <w:t xml:space="preserve">                          Comisión Nº.................................................................Profesora Christiane Kazue Nagao</w:t>
      </w: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Universidad Nacional de Quilmes</w:t>
      </w: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Departamento de Ciencias Sociales</w:t>
      </w: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Ciclo Introductorio</w:t>
      </w:r>
    </w:p>
    <w:p w:rsidR="00383204" w:rsidRPr="00E20054" w:rsidRDefault="00383204" w:rsidP="001F0B1F">
      <w:pPr>
        <w:autoSpaceDE w:val="0"/>
        <w:autoSpaceDN w:val="0"/>
        <w:adjustRightInd w:val="0"/>
        <w:spacing w:after="0" w:line="240" w:lineRule="auto"/>
        <w:jc w:val="center"/>
        <w:rPr>
          <w:rFonts w:ascii="Times New Roman" w:hAnsi="Times New Roman" w:cs="Times New Roman"/>
          <w:b/>
          <w:bCs/>
          <w:smallCaps/>
          <w:lang w:val="es-ES"/>
        </w:rPr>
      </w:pPr>
    </w:p>
    <w:p w:rsidR="001F0B1F" w:rsidRPr="00E20054" w:rsidRDefault="001F0B1F"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
          <w:bCs/>
          <w:smallCaps/>
          <w:lang w:val="es-ES"/>
        </w:rPr>
        <w:t>Lectura y Escritura Académica</w:t>
      </w:r>
    </w:p>
    <w:p w:rsidR="001F0B1F" w:rsidRPr="00E20054" w:rsidRDefault="00E20054" w:rsidP="001F0B1F">
      <w:pPr>
        <w:autoSpaceDE w:val="0"/>
        <w:autoSpaceDN w:val="0"/>
        <w:adjustRightInd w:val="0"/>
        <w:spacing w:after="0" w:line="240" w:lineRule="auto"/>
        <w:jc w:val="center"/>
        <w:rPr>
          <w:rFonts w:ascii="Times New Roman" w:hAnsi="Times New Roman" w:cs="Times New Roman"/>
          <w:b/>
          <w:bCs/>
          <w:smallCaps/>
          <w:lang w:val="es-ES"/>
        </w:rPr>
      </w:pPr>
      <w:r w:rsidRPr="00E20054">
        <w:rPr>
          <w:rFonts w:ascii="Times New Roman" w:hAnsi="Times New Roman" w:cs="Times New Roman"/>
          <w:bCs/>
          <w:smallCaps/>
          <w:lang w:val="es-ES"/>
        </w:rPr>
        <w:t>1er PARCIAL</w:t>
      </w:r>
      <w:r w:rsidR="001F0B1F" w:rsidRPr="00E20054">
        <w:rPr>
          <w:rFonts w:ascii="Times New Roman" w:hAnsi="Times New Roman" w:cs="Times New Roman"/>
          <w:b/>
          <w:bCs/>
          <w:smallCaps/>
          <w:lang w:val="es-ES"/>
        </w:rPr>
        <w:t xml:space="preserve"> – </w:t>
      </w:r>
      <w:r w:rsidR="004C3BA6" w:rsidRPr="00E20054">
        <w:rPr>
          <w:rFonts w:ascii="Times New Roman" w:hAnsi="Times New Roman" w:cs="Times New Roman"/>
          <w:b/>
          <w:bCs/>
          <w:smallCaps/>
          <w:lang w:val="es-ES"/>
        </w:rPr>
        <w:t>2</w:t>
      </w:r>
      <w:r w:rsidR="00193821" w:rsidRPr="00E20054">
        <w:rPr>
          <w:rFonts w:ascii="Times New Roman" w:hAnsi="Times New Roman" w:cs="Times New Roman"/>
          <w:b/>
          <w:bCs/>
          <w:smallCaps/>
          <w:lang w:val="es-ES"/>
        </w:rPr>
        <w:t>º cuatrimestre 2017 – Fecha 30/09/2017</w:t>
      </w:r>
    </w:p>
    <w:p w:rsidR="004C3BA6" w:rsidRPr="00E20054" w:rsidRDefault="004C3BA6" w:rsidP="00E20054">
      <w:pPr>
        <w:pStyle w:val="Ttulo2"/>
        <w:jc w:val="center"/>
        <w:rPr>
          <w:sz w:val="32"/>
          <w:szCs w:val="32"/>
        </w:rPr>
      </w:pPr>
      <w:r w:rsidRPr="00E20054">
        <w:rPr>
          <w:sz w:val="32"/>
          <w:szCs w:val="32"/>
        </w:rPr>
        <w:t>Los medios y los jóvenes</w:t>
      </w:r>
    </w:p>
    <w:p w:rsidR="004C3BA6" w:rsidRDefault="004C3BA6" w:rsidP="00E20054">
      <w:pPr>
        <w:pStyle w:val="autor"/>
        <w:spacing w:before="0" w:beforeAutospacing="0" w:after="0" w:afterAutospacing="0"/>
        <w:jc w:val="right"/>
      </w:pPr>
      <w:bookmarkStart w:id="0" w:name="formu_mail"/>
      <w:bookmarkEnd w:id="0"/>
      <w:r>
        <w:t> </w:t>
      </w:r>
      <w:r w:rsidRPr="004C3BA6">
        <w:t>Por Florencia Saintout *</w:t>
      </w:r>
    </w:p>
    <w:p w:rsidR="00E20054" w:rsidRPr="004C3BA6" w:rsidRDefault="00E20054" w:rsidP="00E20054">
      <w:pPr>
        <w:pStyle w:val="autor"/>
        <w:spacing w:before="0" w:beforeAutospacing="0" w:after="0" w:afterAutospacing="0"/>
        <w:jc w:val="right"/>
      </w:pPr>
    </w:p>
    <w:p w:rsidR="004C3BA6" w:rsidRPr="004C3BA6" w:rsidRDefault="004C3BA6" w:rsidP="00E20054">
      <w:pPr>
        <w:pStyle w:val="margen0"/>
        <w:spacing w:before="0" w:beforeAutospacing="0" w:after="0" w:afterAutospacing="0"/>
        <w:jc w:val="both"/>
      </w:pPr>
      <w:r>
        <w:tab/>
      </w:r>
      <w:r w:rsidRPr="004C3BA6">
        <w:t>¿Qué dicen los medios de comunicación de los jóvenes? Dicen muchas cosas, pero fundamentalmente que son sujetos del deterioro, que están ellos mismos “deteriorados”. Que no valoran la vida: ni la propia ni la ajena. Los asocian a la muerte.</w:t>
      </w:r>
    </w:p>
    <w:p w:rsidR="004C3BA6" w:rsidRPr="004C3BA6" w:rsidRDefault="004C3BA6" w:rsidP="00E20054">
      <w:pPr>
        <w:pStyle w:val="NormalWeb"/>
        <w:spacing w:before="0" w:beforeAutospacing="0" w:after="0" w:afterAutospacing="0"/>
        <w:jc w:val="both"/>
      </w:pPr>
      <w:r>
        <w:tab/>
      </w:r>
      <w:r w:rsidRPr="004C3BA6">
        <w:t>Cotidianamente asistimos al bombardeo de noticias que nos hablan de prácticas llevadas adelante por jóvenes que ponen sus vidas en riesgo. Las noticias nos muestran unos jóvenes que parecieran por momentos optar irracionalmente por la muerte. Ir hacia ella sin fin, sin sentido, o de manera suicida. O son locos o son suicidas.</w:t>
      </w:r>
    </w:p>
    <w:p w:rsidR="004C3BA6" w:rsidRPr="004C3BA6" w:rsidRDefault="004C3BA6" w:rsidP="00E20054">
      <w:pPr>
        <w:pStyle w:val="NormalWeb"/>
        <w:spacing w:before="0" w:beforeAutospacing="0" w:after="0" w:afterAutospacing="0"/>
        <w:jc w:val="both"/>
      </w:pPr>
      <w:r>
        <w:tab/>
      </w:r>
      <w:r w:rsidRPr="004C3BA6">
        <w:t>Los jóvenes aparecen en las noticias como protagonistas del malestar, construidos a través de un discurso descontextualizado y simplificador que los asocia con la muerte. Desde varios relatos: como delincuentes, como peligrosos que necesitan ser castigados o excluidos del espacio común por no valorar la vida, ni propia ni ajena. Como sujetos perdidos que entonces son capaces de salir a matar y morir; que se suben a una moto, apagan las luces, y se entregan a la velocidad infinita. Como enfermos que consumen todo tipo de droga, aun las más pesadas, hasta entrar en coma. Carentes de todo que se involucran en las conductas más riesgosas sin límite alguno, ni siquiera el de la propia muerte.</w:t>
      </w:r>
    </w:p>
    <w:p w:rsidR="004C3BA6" w:rsidRPr="00193821" w:rsidRDefault="004C3BA6" w:rsidP="00E20054">
      <w:pPr>
        <w:pStyle w:val="NormalWeb"/>
        <w:spacing w:before="0" w:beforeAutospacing="0" w:after="0" w:afterAutospacing="0"/>
        <w:jc w:val="both"/>
      </w:pPr>
      <w:r>
        <w:tab/>
      </w:r>
      <w:r w:rsidRPr="00193821">
        <w:t>Ante esto, podríamos decir que efectivamente sí hay datos (de organizaciones de gobierno, de sociedades civiles, de universidades) que hablan de la cercanía de los jóvenes, sobre todo de ciertos jóvenes, los más vulnerables, con la muerte. Sin embargo, es imprescindible decir también que lo que no es cierto es lo que parecieran demostrar de manera tan contundente los medios: que éstos son datos sin historia.</w:t>
      </w:r>
    </w:p>
    <w:p w:rsidR="004C3BA6" w:rsidRPr="004C3BA6" w:rsidRDefault="004C3BA6" w:rsidP="00E20054">
      <w:pPr>
        <w:pStyle w:val="NormalWeb"/>
        <w:spacing w:before="0" w:beforeAutospacing="0" w:after="0" w:afterAutospacing="0"/>
        <w:jc w:val="both"/>
      </w:pPr>
      <w:r>
        <w:tab/>
      </w:r>
      <w:r w:rsidRPr="004C3BA6">
        <w:t>Hay que afirmar que no es cierto que hoy los jóvenes estén al frente de la muerte y el riesgo porque son irracionales o simplemente porque sí. Las prácticas tan recurrentemente descriptas por los medios (donde la vida está y se la pone en riesgo) lejos de ser irracionales o sin sentido pueden ser comprendidas en el marco de unos jóvenes socializados en un tiempo de incertidumbre mundial y de vulnerabilidad regional.</w:t>
      </w:r>
    </w:p>
    <w:p w:rsidR="004C3BA6" w:rsidRPr="004C3BA6" w:rsidRDefault="004C3BA6" w:rsidP="00E20054">
      <w:pPr>
        <w:pStyle w:val="NormalWeb"/>
        <w:spacing w:before="0" w:beforeAutospacing="0" w:after="0" w:afterAutospacing="0"/>
        <w:jc w:val="both"/>
      </w:pPr>
      <w:r>
        <w:tab/>
      </w:r>
      <w:r w:rsidRPr="004C3BA6">
        <w:t>Los jóvenes hoy tienen una clara conciencia de la vulnerabilidad de la vida. De una vida en donde no hay derechos ni garantías, donde no hay instituciones que los protejan, y que aparece construida como una selva donde no entran todos. Hay que decirlo lo más claro posible: los límites entre la vida y la muerte son vistos por los jóvenes, y especialmente por los jóvenes de sectores subalternos, como límites precarios porque viven en un mundo que se ha precarizado como nunca. Y esto no es porque sí, no es porque simplemente sucedió como parecen decirlos ciertos opinólogos y periodistas.</w:t>
      </w:r>
    </w:p>
    <w:p w:rsidR="004C3BA6" w:rsidRPr="004C3BA6" w:rsidRDefault="004C3BA6" w:rsidP="00E20054">
      <w:pPr>
        <w:pStyle w:val="NormalWeb"/>
        <w:spacing w:before="0" w:beforeAutospacing="0" w:after="0" w:afterAutospacing="0"/>
        <w:jc w:val="both"/>
      </w:pPr>
      <w:r>
        <w:tab/>
      </w:r>
      <w:r w:rsidRPr="004C3BA6">
        <w:t>Pero además, y claramente ligada a la conciencia de la vulnerabilidad de la vida (que da como resultado un número altísimo de muertes violentas), la precariedad no pude ser pensada por fuera de las heridas producidas por la dictadura y por treinta años de políticas neoliberales en la Argentina y en la región de las que los jóvenes hoy portan marcas aún sin poder decirlo.</w:t>
      </w:r>
    </w:p>
    <w:p w:rsidR="004C3BA6" w:rsidRPr="004C3BA6" w:rsidRDefault="004C3BA6" w:rsidP="00E20054">
      <w:pPr>
        <w:pStyle w:val="NormalWeb"/>
        <w:spacing w:before="0" w:beforeAutospacing="0" w:after="0" w:afterAutospacing="0"/>
        <w:jc w:val="both"/>
      </w:pPr>
      <w:r>
        <w:tab/>
      </w:r>
      <w:r w:rsidRPr="004C3BA6">
        <w:t>Sabemos que la muerte además de ser un dato biológico ineludible es un acontecimiento históricamente construido y culturalmente compartido: no morimos igual.</w:t>
      </w:r>
    </w:p>
    <w:p w:rsidR="004C3BA6" w:rsidRPr="004C3BA6" w:rsidRDefault="004C3BA6" w:rsidP="00E20054">
      <w:pPr>
        <w:pStyle w:val="NormalWeb"/>
        <w:spacing w:before="0" w:beforeAutospacing="0" w:after="0" w:afterAutospacing="0"/>
        <w:jc w:val="both"/>
      </w:pPr>
      <w:r>
        <w:tab/>
      </w:r>
      <w:r w:rsidRPr="004C3BA6">
        <w:t xml:space="preserve">Norbert Elias (1987), en su “Sociedad de los moribundos”, trabaja la idea de que en las sociedades modernas, de la mano de la extensión de la vida por los procesos de desarrollo científico y las prácticas de la higiene y del cuidado, la muerte puede ser aquello que se sabe pero que es posible al mismo tiempo de ser </w:t>
      </w:r>
      <w:r w:rsidRPr="004C3BA6">
        <w:lastRenderedPageBreak/>
        <w:t>“olvidada”, puesta entre paréntesis. Pero además, dirá Elias, de acuerdo con los procesos de pacificación social, la muerte podrá ser construida como un acontecimiento natural, de la vejez, en una cama.</w:t>
      </w:r>
    </w:p>
    <w:p w:rsidR="004C3BA6" w:rsidRPr="004C3BA6" w:rsidRDefault="004C3BA6" w:rsidP="00E20054">
      <w:pPr>
        <w:pStyle w:val="NormalWeb"/>
        <w:spacing w:before="0" w:beforeAutospacing="0" w:after="0" w:afterAutospacing="0"/>
        <w:jc w:val="both"/>
      </w:pPr>
      <w:r>
        <w:tab/>
      </w:r>
      <w:r w:rsidRPr="004C3BA6">
        <w:t>Para nuestros jóvenes la muerte no es más eso que se espera al final, cuando duelan los huesos de viejo y haya cansancio de la vida. La muerte es, en cambio, lo que ya no es sagrado, que puede estar a la vuelta de cualquier esquina.</w:t>
      </w:r>
    </w:p>
    <w:p w:rsidR="004C3BA6" w:rsidRPr="004C3BA6" w:rsidRDefault="004C3BA6" w:rsidP="00E20054">
      <w:pPr>
        <w:pStyle w:val="NormalWeb"/>
        <w:spacing w:before="0" w:beforeAutospacing="0" w:after="0" w:afterAutospacing="0"/>
        <w:jc w:val="both"/>
      </w:pPr>
      <w:r>
        <w:tab/>
      </w:r>
      <w:r w:rsidRPr="004C3BA6">
        <w:t>Los jóvenes no quieren morirse. Ningún joven dice que quiere morirse.</w:t>
      </w:r>
    </w:p>
    <w:p w:rsidR="004C3BA6" w:rsidRPr="004C3BA6" w:rsidRDefault="004C3BA6" w:rsidP="00E20054">
      <w:pPr>
        <w:pStyle w:val="NormalWeb"/>
        <w:spacing w:before="0" w:beforeAutospacing="0" w:after="0" w:afterAutospacing="0"/>
        <w:jc w:val="both"/>
      </w:pPr>
      <w:r>
        <w:tab/>
      </w:r>
      <w:r w:rsidRPr="004C3BA6">
        <w:t>Pero aunque nadie quiere morir, la muerte está y los jóvenes están nuevamente en el frente. Y no porque sí, como dicen los medios, sino porque algunas de las heridas que se abrieron en la historia todavía no se han saldado. Porque sí hay consecuencias de lo ocurrido y no existe el planeta joven suspendido en el espacio.</w:t>
      </w:r>
    </w:p>
    <w:p w:rsidR="004C3BA6" w:rsidRDefault="004C3BA6" w:rsidP="00E20054">
      <w:pPr>
        <w:pStyle w:val="NormalWeb"/>
        <w:spacing w:before="0" w:beforeAutospacing="0" w:after="0" w:afterAutospacing="0"/>
        <w:jc w:val="both"/>
        <w:rPr>
          <w:rStyle w:val="nfasis"/>
        </w:rPr>
      </w:pPr>
    </w:p>
    <w:p w:rsidR="004C3BA6" w:rsidRDefault="004C3BA6" w:rsidP="00E20054">
      <w:pPr>
        <w:pStyle w:val="NormalWeb"/>
        <w:spacing w:before="0" w:beforeAutospacing="0" w:after="0" w:afterAutospacing="0"/>
        <w:jc w:val="both"/>
        <w:rPr>
          <w:rStyle w:val="nfasis"/>
        </w:rPr>
      </w:pPr>
      <w:r w:rsidRPr="004C3BA6">
        <w:rPr>
          <w:rStyle w:val="nfasis"/>
        </w:rPr>
        <w:t xml:space="preserve">* </w:t>
      </w:r>
      <w:r w:rsidRPr="004C3BA6">
        <w:rPr>
          <w:rStyle w:val="nfasis"/>
          <w:i w:val="0"/>
        </w:rPr>
        <w:t>Directora del Proyecto de Investigación: “Comunicación y Juventud: representaciones de la muerte”. FPyCS, UNLP.</w:t>
      </w:r>
    </w:p>
    <w:p w:rsidR="004C3BA6" w:rsidRPr="004C3BA6" w:rsidRDefault="004C3BA6" w:rsidP="00E20054">
      <w:pPr>
        <w:pStyle w:val="NormalWeb"/>
        <w:spacing w:before="0" w:beforeAutospacing="0" w:after="0" w:afterAutospacing="0"/>
        <w:jc w:val="both"/>
      </w:pPr>
    </w:p>
    <w:p w:rsidR="001F0B1F" w:rsidRPr="00975DF6" w:rsidRDefault="001F0B1F" w:rsidP="001F0B1F">
      <w:pPr>
        <w:autoSpaceDE w:val="0"/>
        <w:autoSpaceDN w:val="0"/>
        <w:adjustRightInd w:val="0"/>
        <w:spacing w:after="0" w:line="240" w:lineRule="auto"/>
        <w:rPr>
          <w:rFonts w:asciiTheme="minorHAnsi" w:hAnsiTheme="minorHAnsi"/>
          <w:bCs/>
          <w:lang w:val="es-ES"/>
        </w:rPr>
      </w:pPr>
      <w:r w:rsidRPr="00975DF6">
        <w:rPr>
          <w:rFonts w:asciiTheme="minorHAnsi" w:hAnsiTheme="minorHAnsi"/>
          <w:bCs/>
          <w:lang w:val="es-ES"/>
        </w:rPr>
        <w:t>Tras la lectura del texto “</w:t>
      </w:r>
      <w:r w:rsidR="004C3BA6">
        <w:rPr>
          <w:rFonts w:asciiTheme="minorHAnsi" w:hAnsiTheme="minorHAnsi"/>
          <w:bCs/>
          <w:lang w:val="es-ES"/>
        </w:rPr>
        <w:t>Los medios y los jóvenes</w:t>
      </w:r>
      <w:r w:rsidRPr="00975DF6">
        <w:rPr>
          <w:rFonts w:asciiTheme="minorHAnsi" w:hAnsiTheme="minorHAnsi"/>
          <w:bCs/>
          <w:lang w:val="es-ES"/>
        </w:rPr>
        <w:t xml:space="preserve">” de </w:t>
      </w:r>
      <w:r w:rsidR="004C3BA6">
        <w:rPr>
          <w:rFonts w:asciiTheme="minorHAnsi" w:hAnsiTheme="minorHAnsi"/>
          <w:bCs/>
          <w:lang w:val="es-ES"/>
        </w:rPr>
        <w:t>Florencia Saintout</w:t>
      </w:r>
      <w:r w:rsidR="00080BA1">
        <w:rPr>
          <w:rFonts w:asciiTheme="minorHAnsi" w:hAnsiTheme="minorHAnsi"/>
          <w:bCs/>
          <w:lang w:val="es-ES"/>
        </w:rPr>
        <w:t xml:space="preserve">, </w:t>
      </w:r>
      <w:r w:rsidRPr="00975DF6">
        <w:rPr>
          <w:rFonts w:asciiTheme="minorHAnsi" w:hAnsiTheme="minorHAnsi"/>
          <w:bCs/>
          <w:lang w:val="es-ES"/>
        </w:rPr>
        <w:t xml:space="preserve"> resolver las consignas planteadas a continuación</w:t>
      </w:r>
      <w:r w:rsidR="00C3381A">
        <w:rPr>
          <w:rFonts w:asciiTheme="minorHAnsi" w:hAnsiTheme="minorHAnsi"/>
          <w:bCs/>
          <w:lang w:val="es-ES"/>
        </w:rPr>
        <w:t>:</w:t>
      </w:r>
    </w:p>
    <w:p w:rsidR="001F0B1F" w:rsidRPr="00975DF6" w:rsidRDefault="001F0B1F" w:rsidP="001F0B1F">
      <w:pPr>
        <w:autoSpaceDE w:val="0"/>
        <w:autoSpaceDN w:val="0"/>
        <w:adjustRightInd w:val="0"/>
        <w:spacing w:after="0" w:line="240" w:lineRule="auto"/>
        <w:jc w:val="both"/>
        <w:rPr>
          <w:rFonts w:asciiTheme="minorHAnsi" w:hAnsiTheme="minorHAnsi"/>
          <w:bCs/>
          <w:lang w:val="es-ES"/>
        </w:rPr>
      </w:pPr>
    </w:p>
    <w:p w:rsidR="00193821" w:rsidRDefault="00FC431E" w:rsidP="005B18D3">
      <w:pPr>
        <w:pStyle w:val="NormalWeb"/>
        <w:numPr>
          <w:ilvl w:val="0"/>
          <w:numId w:val="5"/>
        </w:numPr>
        <w:spacing w:before="0" w:beforeAutospacing="0" w:after="0" w:afterAutospacing="0"/>
      </w:pPr>
      <w:r>
        <w:rPr>
          <w:rFonts w:asciiTheme="minorHAnsi" w:hAnsiTheme="minorHAnsi"/>
          <w:bCs/>
          <w:lang w:val="es-ES"/>
        </w:rPr>
        <w:t xml:space="preserve">Identificar el </w:t>
      </w:r>
      <w:r w:rsidR="00193821">
        <w:rPr>
          <w:rFonts w:asciiTheme="minorHAnsi" w:hAnsiTheme="minorHAnsi"/>
          <w:bCs/>
          <w:lang w:val="es-ES"/>
        </w:rPr>
        <w:t>tema de</w:t>
      </w:r>
      <w:r>
        <w:rPr>
          <w:rFonts w:asciiTheme="minorHAnsi" w:hAnsiTheme="minorHAnsi"/>
          <w:bCs/>
          <w:lang w:val="es-ES"/>
        </w:rPr>
        <w:t>:</w:t>
      </w:r>
      <w:r w:rsidR="00193821">
        <w:rPr>
          <w:rFonts w:asciiTheme="minorHAnsi" w:hAnsiTheme="minorHAnsi"/>
          <w:bCs/>
          <w:lang w:val="es-ES"/>
        </w:rPr>
        <w:t xml:space="preserve"> cuarto párrafo (</w:t>
      </w:r>
      <w:r w:rsidR="00193821" w:rsidRPr="004C3BA6">
        <w:t>Ante esto</w:t>
      </w:r>
      <w:r w:rsidR="00193821">
        <w:t xml:space="preserve"> ... </w:t>
      </w:r>
      <w:r w:rsidR="00193821" w:rsidRPr="004C3BA6">
        <w:t>datos sin historia</w:t>
      </w:r>
      <w:r w:rsidR="005B18D3">
        <w:t>) y  séptimo (</w:t>
      </w:r>
      <w:r w:rsidR="005B18D3" w:rsidRPr="004C3BA6">
        <w:t xml:space="preserve">Pero además, </w:t>
      </w:r>
      <w:r w:rsidR="005B18D3">
        <w:t xml:space="preserve">... </w:t>
      </w:r>
      <w:r w:rsidR="005B18D3" w:rsidRPr="004C3BA6">
        <w:t>sin poder decirlo</w:t>
      </w:r>
      <w:r>
        <w:t>)</w:t>
      </w:r>
      <w:r w:rsidR="005B18D3" w:rsidRPr="004C3BA6">
        <w:t>.</w:t>
      </w:r>
      <w:r w:rsidR="005B18D3">
        <w:t xml:space="preserve"> [2 puntos]</w:t>
      </w:r>
    </w:p>
    <w:p w:rsidR="005B18D3" w:rsidRDefault="005B18D3" w:rsidP="005B18D3">
      <w:pPr>
        <w:pStyle w:val="NormalWeb"/>
        <w:numPr>
          <w:ilvl w:val="0"/>
          <w:numId w:val="5"/>
        </w:numPr>
        <w:spacing w:before="0" w:beforeAutospacing="0" w:after="0" w:afterAutospacing="0"/>
      </w:pPr>
      <w:r>
        <w:t>Señalar marcas de enunciación que se vin</w:t>
      </w:r>
      <w:r w:rsidR="005F0B3D">
        <w:t>culen con la hipótesis de la autora</w:t>
      </w:r>
      <w:r>
        <w:t xml:space="preserve"> [1 punto].</w:t>
      </w:r>
    </w:p>
    <w:p w:rsidR="005B18D3" w:rsidRPr="004C3BA6" w:rsidRDefault="005B18D3" w:rsidP="005B18D3">
      <w:pPr>
        <w:pStyle w:val="NormalWeb"/>
        <w:numPr>
          <w:ilvl w:val="0"/>
          <w:numId w:val="5"/>
        </w:numPr>
        <w:spacing w:before="0" w:beforeAutospacing="0" w:after="0" w:afterAutospacing="0"/>
      </w:pPr>
      <w:r>
        <w:t>Escribir la referencia bibliográfica correspondiente del texto [1 punto].</w:t>
      </w:r>
    </w:p>
    <w:p w:rsidR="001F0B1F" w:rsidRPr="00975DF6" w:rsidRDefault="001F0B1F" w:rsidP="005B18D3">
      <w:pPr>
        <w:autoSpaceDE w:val="0"/>
        <w:autoSpaceDN w:val="0"/>
        <w:adjustRightInd w:val="0"/>
        <w:spacing w:after="0" w:line="240" w:lineRule="auto"/>
        <w:ind w:left="720"/>
        <w:jc w:val="both"/>
        <w:rPr>
          <w:rFonts w:asciiTheme="minorHAnsi" w:hAnsiTheme="minorHAnsi"/>
          <w:bCs/>
          <w:lang w:val="es-ES"/>
        </w:rPr>
      </w:pPr>
    </w:p>
    <w:p w:rsidR="005F0153" w:rsidRPr="00975DF6" w:rsidRDefault="005F0153" w:rsidP="005F0153">
      <w:pPr>
        <w:autoSpaceDE w:val="0"/>
        <w:autoSpaceDN w:val="0"/>
        <w:adjustRightInd w:val="0"/>
        <w:spacing w:after="0" w:line="240" w:lineRule="auto"/>
        <w:ind w:left="720"/>
        <w:jc w:val="both"/>
        <w:rPr>
          <w:rFonts w:asciiTheme="minorHAnsi" w:hAnsiTheme="minorHAnsi"/>
          <w:bCs/>
          <w:lang w:val="es-ES"/>
        </w:rPr>
      </w:pPr>
    </w:p>
    <w:p w:rsidR="00E20054" w:rsidRDefault="001F0B1F" w:rsidP="00E20054">
      <w:pPr>
        <w:spacing w:after="0" w:line="259" w:lineRule="auto"/>
        <w:jc w:val="both"/>
        <w:rPr>
          <w:rFonts w:asciiTheme="minorHAnsi" w:hAnsiTheme="minorHAnsi"/>
          <w:bCs/>
          <w:lang w:val="es-ES"/>
        </w:rPr>
      </w:pPr>
      <w:r w:rsidRPr="00E20054">
        <w:rPr>
          <w:rFonts w:asciiTheme="minorHAnsi" w:hAnsiTheme="minorHAnsi"/>
          <w:bCs/>
          <w:lang w:val="es-ES"/>
        </w:rPr>
        <w:t>PRODUCCIÓN DE TEXTO</w:t>
      </w:r>
      <w:r w:rsidR="00E20054">
        <w:rPr>
          <w:rFonts w:asciiTheme="minorHAnsi" w:hAnsiTheme="minorHAnsi"/>
          <w:bCs/>
          <w:lang w:val="es-ES"/>
        </w:rPr>
        <w:t xml:space="preserve"> [6 puntos]</w:t>
      </w:r>
    </w:p>
    <w:p w:rsidR="00E20054" w:rsidRPr="00E20054" w:rsidRDefault="00E20054" w:rsidP="00E20054">
      <w:pPr>
        <w:spacing w:after="0" w:line="259" w:lineRule="auto"/>
        <w:jc w:val="both"/>
        <w:rPr>
          <w:rFonts w:asciiTheme="minorHAnsi" w:hAnsiTheme="minorHAnsi"/>
          <w:bCs/>
          <w:lang w:val="es-ES"/>
        </w:rPr>
      </w:pPr>
    </w:p>
    <w:p w:rsidR="001F0B1F" w:rsidRPr="00E20054" w:rsidRDefault="001F0B1F" w:rsidP="00E20054">
      <w:pPr>
        <w:spacing w:after="0" w:line="259" w:lineRule="auto"/>
        <w:jc w:val="both"/>
        <w:rPr>
          <w:rFonts w:asciiTheme="minorHAnsi" w:hAnsiTheme="minorHAnsi"/>
          <w:bCs/>
          <w:lang w:val="es-ES"/>
        </w:rPr>
      </w:pPr>
      <w:r w:rsidRPr="00E20054">
        <w:rPr>
          <w:rFonts w:asciiTheme="minorHAnsi" w:hAnsiTheme="minorHAnsi"/>
          <w:bCs/>
          <w:lang w:val="es-ES"/>
        </w:rPr>
        <w:t xml:space="preserve">Escribir un informe de lectura sobre el texto de </w:t>
      </w:r>
      <w:r w:rsidR="005B18D3" w:rsidRPr="00E20054">
        <w:rPr>
          <w:rFonts w:asciiTheme="minorHAnsi" w:hAnsiTheme="minorHAnsi"/>
          <w:bCs/>
          <w:lang w:val="es-ES"/>
        </w:rPr>
        <w:t>Florencia Saintout</w:t>
      </w:r>
      <w:r w:rsidRPr="00E20054">
        <w:rPr>
          <w:rFonts w:asciiTheme="minorHAnsi" w:hAnsiTheme="minorHAnsi"/>
          <w:bCs/>
          <w:lang w:val="es-ES"/>
        </w:rPr>
        <w:t xml:space="preserve"> que conste de</w:t>
      </w:r>
      <w:r w:rsidR="00C3381A" w:rsidRPr="00E20054">
        <w:rPr>
          <w:rFonts w:asciiTheme="minorHAnsi" w:hAnsiTheme="minorHAnsi"/>
          <w:bCs/>
          <w:lang w:val="es-ES"/>
        </w:rPr>
        <w:t>:</w:t>
      </w:r>
      <w:r w:rsidR="00E20054" w:rsidRPr="00E20054">
        <w:rPr>
          <w:rFonts w:asciiTheme="minorHAnsi" w:hAnsiTheme="minorHAnsi"/>
          <w:bCs/>
          <w:lang w:val="es-ES"/>
        </w:rPr>
        <w:t xml:space="preserve">  </w:t>
      </w:r>
    </w:p>
    <w:p w:rsidR="00E20054" w:rsidRDefault="00E20054" w:rsidP="001F0B1F">
      <w:pPr>
        <w:spacing w:after="0" w:line="259" w:lineRule="auto"/>
        <w:ind w:left="360"/>
        <w:contextualSpacing/>
        <w:jc w:val="both"/>
        <w:rPr>
          <w:rFonts w:asciiTheme="minorHAnsi" w:hAnsiTheme="minorHAnsi"/>
          <w:bCs/>
          <w:lang w:val="es-ES"/>
        </w:rPr>
      </w:pPr>
    </w:p>
    <w:tbl>
      <w:tblPr>
        <w:tblStyle w:val="Tablaconcuadrcula"/>
        <w:tblW w:w="0" w:type="auto"/>
        <w:tblInd w:w="817" w:type="dxa"/>
        <w:tblLook w:val="04A0"/>
      </w:tblPr>
      <w:tblGrid>
        <w:gridCol w:w="4394"/>
      </w:tblGrid>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Referencia bibliográfica</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Presentación del autor</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Presentación del texto, género y secuencia</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Contexto de producción</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Tema, pregunta (debate), hipótesis</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Argumentos del autor</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Comparación con otro autor</w:t>
            </w:r>
          </w:p>
        </w:tc>
      </w:tr>
      <w:tr w:rsidR="00E20054" w:rsidTr="00FC431E">
        <w:tc>
          <w:tcPr>
            <w:tcW w:w="4394" w:type="dxa"/>
          </w:tcPr>
          <w:p w:rsidR="00E20054" w:rsidRDefault="00E20054" w:rsidP="001F0B1F">
            <w:pPr>
              <w:spacing w:line="259" w:lineRule="auto"/>
              <w:contextualSpacing/>
              <w:jc w:val="both"/>
              <w:rPr>
                <w:rFonts w:asciiTheme="minorHAnsi" w:hAnsiTheme="minorHAnsi"/>
                <w:bCs/>
                <w:lang w:val="es-ES"/>
              </w:rPr>
            </w:pPr>
            <w:r>
              <w:rPr>
                <w:rFonts w:asciiTheme="minorHAnsi" w:hAnsiTheme="minorHAnsi"/>
                <w:bCs/>
                <w:lang w:val="es-ES"/>
              </w:rPr>
              <w:t>Hipótesis personal y al menos un argumento</w:t>
            </w:r>
          </w:p>
        </w:tc>
      </w:tr>
      <w:tr w:rsidR="00E20054" w:rsidTr="00FC431E">
        <w:tc>
          <w:tcPr>
            <w:tcW w:w="4394" w:type="dxa"/>
          </w:tcPr>
          <w:p w:rsidR="00E20054" w:rsidRDefault="00E20054" w:rsidP="000F33CB">
            <w:pPr>
              <w:spacing w:line="259" w:lineRule="auto"/>
              <w:contextualSpacing/>
              <w:jc w:val="both"/>
              <w:rPr>
                <w:rFonts w:asciiTheme="minorHAnsi" w:hAnsiTheme="minorHAnsi"/>
                <w:bCs/>
                <w:lang w:val="es-ES"/>
              </w:rPr>
            </w:pPr>
            <w:r>
              <w:rPr>
                <w:rFonts w:asciiTheme="minorHAnsi" w:hAnsiTheme="minorHAnsi"/>
                <w:bCs/>
                <w:lang w:val="es-ES"/>
              </w:rPr>
              <w:t>Conclusión</w:t>
            </w:r>
          </w:p>
        </w:tc>
      </w:tr>
    </w:tbl>
    <w:p w:rsidR="00E20054" w:rsidRDefault="00E20054" w:rsidP="00C3381A">
      <w:pPr>
        <w:spacing w:after="0" w:line="240" w:lineRule="auto"/>
        <w:ind w:left="709"/>
        <w:rPr>
          <w:rFonts w:asciiTheme="minorHAnsi" w:hAnsiTheme="minorHAnsi"/>
          <w:lang w:val="es-ES"/>
        </w:rPr>
      </w:pPr>
    </w:p>
    <w:p w:rsidR="00C3381A" w:rsidRPr="00C3381A" w:rsidRDefault="00C3381A" w:rsidP="00C3381A">
      <w:pPr>
        <w:spacing w:after="0" w:line="240" w:lineRule="auto"/>
        <w:ind w:left="709"/>
        <w:rPr>
          <w:rFonts w:asciiTheme="minorHAnsi" w:hAnsiTheme="minorHAnsi"/>
          <w:lang w:val="es-ES"/>
        </w:rPr>
      </w:pPr>
      <w:r>
        <w:rPr>
          <w:rFonts w:asciiTheme="minorHAnsi" w:hAnsiTheme="minorHAnsi"/>
          <w:lang w:val="es-ES"/>
        </w:rPr>
        <w:t>Extensión sugerida para  el informe: 2 carillas</w:t>
      </w:r>
      <w:r w:rsidR="005F0B3D">
        <w:rPr>
          <w:rFonts w:asciiTheme="minorHAnsi" w:hAnsiTheme="minorHAnsi"/>
          <w:lang w:val="es-ES"/>
        </w:rPr>
        <w:t xml:space="preserve"> </w:t>
      </w:r>
    </w:p>
    <w:sectPr w:rsidR="00C3381A" w:rsidRPr="00C3381A" w:rsidSect="00A37F7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234" w:rsidRDefault="00EB5234" w:rsidP="001F0B1F">
      <w:pPr>
        <w:spacing w:after="0" w:line="240" w:lineRule="auto"/>
      </w:pPr>
      <w:r>
        <w:separator/>
      </w:r>
    </w:p>
  </w:endnote>
  <w:endnote w:type="continuationSeparator" w:id="1">
    <w:p w:rsidR="00EB5234" w:rsidRDefault="00EB5234" w:rsidP="001F0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234" w:rsidRDefault="00EB5234" w:rsidP="001F0B1F">
      <w:pPr>
        <w:spacing w:after="0" w:line="240" w:lineRule="auto"/>
      </w:pPr>
      <w:r>
        <w:separator/>
      </w:r>
    </w:p>
  </w:footnote>
  <w:footnote w:type="continuationSeparator" w:id="1">
    <w:p w:rsidR="00EB5234" w:rsidRDefault="00EB5234" w:rsidP="001F0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ED2"/>
    <w:multiLevelType w:val="hybridMultilevel"/>
    <w:tmpl w:val="988837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CE96971"/>
    <w:multiLevelType w:val="hybridMultilevel"/>
    <w:tmpl w:val="D63EA1A2"/>
    <w:lvl w:ilvl="0" w:tplc="0330C188">
      <w:numFmt w:val="bullet"/>
      <w:lvlText w:val=""/>
      <w:lvlJc w:val="left"/>
      <w:pPr>
        <w:tabs>
          <w:tab w:val="num" w:pos="1069"/>
        </w:tabs>
        <w:ind w:left="1069" w:hanging="360"/>
      </w:pPr>
      <w:rPr>
        <w:rFonts w:ascii="Symbol" w:eastAsia="Times New Roman" w:hAnsi="Symbol" w:hint="default"/>
        <w:b/>
        <w:bCs/>
        <w:color w:val="auto"/>
      </w:rPr>
    </w:lvl>
    <w:lvl w:ilvl="1" w:tplc="0C0A0003" w:tentative="1">
      <w:start w:val="1"/>
      <w:numFmt w:val="bullet"/>
      <w:lvlText w:val="o"/>
      <w:lvlJc w:val="left"/>
      <w:pPr>
        <w:tabs>
          <w:tab w:val="num" w:pos="731"/>
        </w:tabs>
        <w:ind w:left="731" w:hanging="360"/>
      </w:pPr>
      <w:rPr>
        <w:rFonts w:ascii="Courier New" w:hAnsi="Courier New" w:cs="Courier New" w:hint="default"/>
      </w:rPr>
    </w:lvl>
    <w:lvl w:ilvl="2" w:tplc="0C0A0005" w:tentative="1">
      <w:start w:val="1"/>
      <w:numFmt w:val="bullet"/>
      <w:lvlText w:val=""/>
      <w:lvlJc w:val="left"/>
      <w:pPr>
        <w:tabs>
          <w:tab w:val="num" w:pos="1451"/>
        </w:tabs>
        <w:ind w:left="1451" w:hanging="360"/>
      </w:pPr>
      <w:rPr>
        <w:rFonts w:ascii="Wingdings" w:hAnsi="Wingdings" w:cs="Wingdings" w:hint="default"/>
      </w:rPr>
    </w:lvl>
    <w:lvl w:ilvl="3" w:tplc="0C0A0001" w:tentative="1">
      <w:start w:val="1"/>
      <w:numFmt w:val="bullet"/>
      <w:lvlText w:val=""/>
      <w:lvlJc w:val="left"/>
      <w:pPr>
        <w:tabs>
          <w:tab w:val="num" w:pos="2171"/>
        </w:tabs>
        <w:ind w:left="2171" w:hanging="360"/>
      </w:pPr>
      <w:rPr>
        <w:rFonts w:ascii="Symbol" w:hAnsi="Symbol" w:cs="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cs="Wingdings" w:hint="default"/>
      </w:rPr>
    </w:lvl>
    <w:lvl w:ilvl="6" w:tplc="0C0A0001" w:tentative="1">
      <w:start w:val="1"/>
      <w:numFmt w:val="bullet"/>
      <w:lvlText w:val=""/>
      <w:lvlJc w:val="left"/>
      <w:pPr>
        <w:tabs>
          <w:tab w:val="num" w:pos="4331"/>
        </w:tabs>
        <w:ind w:left="4331" w:hanging="360"/>
      </w:pPr>
      <w:rPr>
        <w:rFonts w:ascii="Symbol" w:hAnsi="Symbol" w:cs="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cs="Wingdings" w:hint="default"/>
      </w:rPr>
    </w:lvl>
  </w:abstractNum>
  <w:abstractNum w:abstractNumId="2">
    <w:nsid w:val="11A7692C"/>
    <w:multiLevelType w:val="hybridMultilevel"/>
    <w:tmpl w:val="139ED3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316919"/>
    <w:multiLevelType w:val="hybridMultilevel"/>
    <w:tmpl w:val="F0D6CF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FB83207"/>
    <w:multiLevelType w:val="hybridMultilevel"/>
    <w:tmpl w:val="2FC27F12"/>
    <w:lvl w:ilvl="0" w:tplc="F80CAA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0B1F"/>
    <w:rsid w:val="000426CD"/>
    <w:rsid w:val="00080BA1"/>
    <w:rsid w:val="00193821"/>
    <w:rsid w:val="001F0B1F"/>
    <w:rsid w:val="002169CF"/>
    <w:rsid w:val="00383204"/>
    <w:rsid w:val="004C3BA6"/>
    <w:rsid w:val="00522FE8"/>
    <w:rsid w:val="00590F3B"/>
    <w:rsid w:val="00593097"/>
    <w:rsid w:val="005B18D3"/>
    <w:rsid w:val="005C310C"/>
    <w:rsid w:val="005F0153"/>
    <w:rsid w:val="005F0B3D"/>
    <w:rsid w:val="007F6D15"/>
    <w:rsid w:val="008B2A5A"/>
    <w:rsid w:val="00975DF6"/>
    <w:rsid w:val="009A75A9"/>
    <w:rsid w:val="009B52E0"/>
    <w:rsid w:val="00B318B5"/>
    <w:rsid w:val="00BF7CE5"/>
    <w:rsid w:val="00C062C2"/>
    <w:rsid w:val="00C3381A"/>
    <w:rsid w:val="00C871EA"/>
    <w:rsid w:val="00D1720D"/>
    <w:rsid w:val="00D72C34"/>
    <w:rsid w:val="00E20054"/>
    <w:rsid w:val="00E20F4F"/>
    <w:rsid w:val="00EA1C65"/>
    <w:rsid w:val="00EB5234"/>
    <w:rsid w:val="00FA5EA3"/>
    <w:rsid w:val="00FC43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1F"/>
    <w:rPr>
      <w:rFonts w:ascii="Calibri" w:eastAsia="Calibri" w:hAnsi="Calibri" w:cs="Calibri"/>
      <w:lang w:val="en-US"/>
    </w:rPr>
  </w:style>
  <w:style w:type="paragraph" w:styleId="Ttulo2">
    <w:name w:val="heading 2"/>
    <w:basedOn w:val="Normal"/>
    <w:link w:val="Ttulo2Car"/>
    <w:uiPriority w:val="9"/>
    <w:qFormat/>
    <w:rsid w:val="004C3BA6"/>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F0B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1F0B1F"/>
    <w:rPr>
      <w:rFonts w:ascii="Calibri" w:eastAsia="Calibri" w:hAnsi="Calibri" w:cs="Calibri"/>
      <w:lang w:val="en-US"/>
    </w:rPr>
  </w:style>
  <w:style w:type="paragraph" w:styleId="Textonotapie">
    <w:name w:val="footnote text"/>
    <w:basedOn w:val="Normal"/>
    <w:link w:val="TextonotapieCar"/>
    <w:uiPriority w:val="99"/>
    <w:semiHidden/>
    <w:rsid w:val="001F0B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0B1F"/>
    <w:rPr>
      <w:rFonts w:ascii="Calibri" w:eastAsia="Calibri" w:hAnsi="Calibri" w:cs="Calibri"/>
      <w:sz w:val="20"/>
      <w:szCs w:val="20"/>
      <w:lang w:val="en-US"/>
    </w:rPr>
  </w:style>
  <w:style w:type="character" w:styleId="Refdenotaalpie">
    <w:name w:val="footnote reference"/>
    <w:basedOn w:val="Fuentedeprrafopredeter"/>
    <w:uiPriority w:val="99"/>
    <w:semiHidden/>
    <w:rsid w:val="001F0B1F"/>
    <w:rPr>
      <w:vertAlign w:val="superscript"/>
    </w:rPr>
  </w:style>
  <w:style w:type="character" w:styleId="Hipervnculo">
    <w:name w:val="Hyperlink"/>
    <w:basedOn w:val="Fuentedeprrafopredeter"/>
    <w:uiPriority w:val="99"/>
    <w:semiHidden/>
    <w:unhideWhenUsed/>
    <w:rsid w:val="00C062C2"/>
    <w:rPr>
      <w:color w:val="0000FF"/>
      <w:u w:val="single"/>
    </w:rPr>
  </w:style>
  <w:style w:type="paragraph" w:styleId="Prrafodelista">
    <w:name w:val="List Paragraph"/>
    <w:basedOn w:val="Normal"/>
    <w:uiPriority w:val="34"/>
    <w:qFormat/>
    <w:rsid w:val="005F0153"/>
    <w:pPr>
      <w:ind w:left="720"/>
      <w:contextualSpacing/>
    </w:pPr>
  </w:style>
  <w:style w:type="character" w:customStyle="1" w:styleId="Ttulo2Car">
    <w:name w:val="Título 2 Car"/>
    <w:basedOn w:val="Fuentedeprrafopredeter"/>
    <w:link w:val="Ttulo2"/>
    <w:uiPriority w:val="9"/>
    <w:rsid w:val="004C3BA6"/>
    <w:rPr>
      <w:rFonts w:ascii="Times New Roman" w:eastAsia="Times New Roman" w:hAnsi="Times New Roman" w:cs="Times New Roman"/>
      <w:b/>
      <w:bCs/>
      <w:sz w:val="36"/>
      <w:szCs w:val="36"/>
      <w:lang w:eastAsia="es-AR"/>
    </w:rPr>
  </w:style>
  <w:style w:type="paragraph" w:customStyle="1" w:styleId="volanta">
    <w:name w:val="volanta"/>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intro">
    <w:name w:val="intro"/>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autor">
    <w:name w:val="autor"/>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margen0">
    <w:name w:val="margen0"/>
    <w:basedOn w:val="Normal"/>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semiHidden/>
    <w:unhideWhenUsed/>
    <w:rsid w:val="004C3BA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4C3BA6"/>
    <w:rPr>
      <w:i/>
      <w:iCs/>
    </w:rPr>
  </w:style>
  <w:style w:type="paragraph" w:styleId="Textodeglobo">
    <w:name w:val="Balloon Text"/>
    <w:basedOn w:val="Normal"/>
    <w:link w:val="TextodegloboCar"/>
    <w:uiPriority w:val="99"/>
    <w:semiHidden/>
    <w:unhideWhenUsed/>
    <w:rsid w:val="004C3B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BA6"/>
    <w:rPr>
      <w:rFonts w:ascii="Tahoma" w:eastAsia="Calibri" w:hAnsi="Tahoma" w:cs="Tahoma"/>
      <w:sz w:val="16"/>
      <w:szCs w:val="16"/>
      <w:lang w:val="en-US"/>
    </w:rPr>
  </w:style>
  <w:style w:type="table" w:styleId="Tablaconcuadrcula">
    <w:name w:val="Table Grid"/>
    <w:basedOn w:val="Tablanormal"/>
    <w:uiPriority w:val="59"/>
    <w:rsid w:val="00E20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2570301">
      <w:bodyDiv w:val="1"/>
      <w:marLeft w:val="0"/>
      <w:marRight w:val="0"/>
      <w:marTop w:val="0"/>
      <w:marBottom w:val="0"/>
      <w:divBdr>
        <w:top w:val="none" w:sz="0" w:space="0" w:color="auto"/>
        <w:left w:val="none" w:sz="0" w:space="0" w:color="auto"/>
        <w:bottom w:val="none" w:sz="0" w:space="0" w:color="auto"/>
        <w:right w:val="none" w:sz="0" w:space="0" w:color="auto"/>
      </w:divBdr>
      <w:divsChild>
        <w:div w:id="817503777">
          <w:marLeft w:val="0"/>
          <w:marRight w:val="0"/>
          <w:marTop w:val="0"/>
          <w:marBottom w:val="0"/>
          <w:divBdr>
            <w:top w:val="none" w:sz="0" w:space="0" w:color="auto"/>
            <w:left w:val="none" w:sz="0" w:space="0" w:color="auto"/>
            <w:bottom w:val="none" w:sz="0" w:space="0" w:color="auto"/>
            <w:right w:val="none" w:sz="0" w:space="0" w:color="auto"/>
          </w:divBdr>
          <w:divsChild>
            <w:div w:id="1565600318">
              <w:marLeft w:val="0"/>
              <w:marRight w:val="0"/>
              <w:marTop w:val="0"/>
              <w:marBottom w:val="0"/>
              <w:divBdr>
                <w:top w:val="none" w:sz="0" w:space="0" w:color="auto"/>
                <w:left w:val="none" w:sz="0" w:space="0" w:color="auto"/>
                <w:bottom w:val="none" w:sz="0" w:space="0" w:color="auto"/>
                <w:right w:val="none" w:sz="0" w:space="0" w:color="auto"/>
              </w:divBdr>
              <w:divsChild>
                <w:div w:id="760561367">
                  <w:marLeft w:val="0"/>
                  <w:marRight w:val="0"/>
                  <w:marTop w:val="0"/>
                  <w:marBottom w:val="0"/>
                  <w:divBdr>
                    <w:top w:val="none" w:sz="0" w:space="0" w:color="auto"/>
                    <w:left w:val="none" w:sz="0" w:space="0" w:color="auto"/>
                    <w:bottom w:val="none" w:sz="0" w:space="0" w:color="auto"/>
                    <w:right w:val="none" w:sz="0" w:space="0" w:color="auto"/>
                  </w:divBdr>
                  <w:divsChild>
                    <w:div w:id="1348367206">
                      <w:marLeft w:val="0"/>
                      <w:marRight w:val="0"/>
                      <w:marTop w:val="0"/>
                      <w:marBottom w:val="0"/>
                      <w:divBdr>
                        <w:top w:val="none" w:sz="0" w:space="0" w:color="auto"/>
                        <w:left w:val="none" w:sz="0" w:space="0" w:color="auto"/>
                        <w:bottom w:val="none" w:sz="0" w:space="0" w:color="auto"/>
                        <w:right w:val="none" w:sz="0" w:space="0" w:color="auto"/>
                      </w:divBdr>
                      <w:divsChild>
                        <w:div w:id="1458141228">
                          <w:marLeft w:val="0"/>
                          <w:marRight w:val="0"/>
                          <w:marTop w:val="0"/>
                          <w:marBottom w:val="0"/>
                          <w:divBdr>
                            <w:top w:val="none" w:sz="0" w:space="0" w:color="auto"/>
                            <w:left w:val="none" w:sz="0" w:space="0" w:color="auto"/>
                            <w:bottom w:val="none" w:sz="0" w:space="0" w:color="auto"/>
                            <w:right w:val="none" w:sz="0" w:space="0" w:color="auto"/>
                          </w:divBdr>
                        </w:div>
                        <w:div w:id="1490827715">
                          <w:marLeft w:val="0"/>
                          <w:marRight w:val="0"/>
                          <w:marTop w:val="0"/>
                          <w:marBottom w:val="0"/>
                          <w:divBdr>
                            <w:top w:val="none" w:sz="0" w:space="0" w:color="auto"/>
                            <w:left w:val="none" w:sz="0" w:space="0" w:color="auto"/>
                            <w:bottom w:val="none" w:sz="0" w:space="0" w:color="auto"/>
                            <w:right w:val="none" w:sz="0" w:space="0" w:color="auto"/>
                          </w:divBdr>
                        </w:div>
                        <w:div w:id="204100927">
                          <w:marLeft w:val="0"/>
                          <w:marRight w:val="0"/>
                          <w:marTop w:val="0"/>
                          <w:marBottom w:val="0"/>
                          <w:divBdr>
                            <w:top w:val="none" w:sz="0" w:space="0" w:color="auto"/>
                            <w:left w:val="none" w:sz="0" w:space="0" w:color="auto"/>
                            <w:bottom w:val="none" w:sz="0" w:space="0" w:color="auto"/>
                            <w:right w:val="none" w:sz="0" w:space="0" w:color="auto"/>
                          </w:divBdr>
                        </w:div>
                        <w:div w:id="1828746903">
                          <w:marLeft w:val="0"/>
                          <w:marRight w:val="0"/>
                          <w:marTop w:val="0"/>
                          <w:marBottom w:val="0"/>
                          <w:divBdr>
                            <w:top w:val="none" w:sz="0" w:space="0" w:color="auto"/>
                            <w:left w:val="none" w:sz="0" w:space="0" w:color="auto"/>
                            <w:bottom w:val="none" w:sz="0" w:space="0" w:color="auto"/>
                            <w:right w:val="none" w:sz="0" w:space="0" w:color="auto"/>
                          </w:divBdr>
                        </w:div>
                        <w:div w:id="678045287">
                          <w:marLeft w:val="0"/>
                          <w:marRight w:val="0"/>
                          <w:marTop w:val="0"/>
                          <w:marBottom w:val="0"/>
                          <w:divBdr>
                            <w:top w:val="none" w:sz="0" w:space="0" w:color="auto"/>
                            <w:left w:val="none" w:sz="0" w:space="0" w:color="auto"/>
                            <w:bottom w:val="none" w:sz="0" w:space="0" w:color="auto"/>
                            <w:right w:val="none" w:sz="0" w:space="0" w:color="auto"/>
                          </w:divBdr>
                        </w:div>
                      </w:divsChild>
                    </w:div>
                    <w:div w:id="8477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9394">
      <w:bodyDiv w:val="1"/>
      <w:marLeft w:val="0"/>
      <w:marRight w:val="0"/>
      <w:marTop w:val="0"/>
      <w:marBottom w:val="0"/>
      <w:divBdr>
        <w:top w:val="none" w:sz="0" w:space="0" w:color="auto"/>
        <w:left w:val="none" w:sz="0" w:space="0" w:color="auto"/>
        <w:bottom w:val="none" w:sz="0" w:space="0" w:color="auto"/>
        <w:right w:val="none" w:sz="0" w:space="0" w:color="auto"/>
      </w:divBdr>
      <w:divsChild>
        <w:div w:id="1959028278">
          <w:marLeft w:val="0"/>
          <w:marRight w:val="0"/>
          <w:marTop w:val="0"/>
          <w:marBottom w:val="0"/>
          <w:divBdr>
            <w:top w:val="none" w:sz="0" w:space="0" w:color="auto"/>
            <w:left w:val="none" w:sz="0" w:space="0" w:color="auto"/>
            <w:bottom w:val="none" w:sz="0" w:space="0" w:color="auto"/>
            <w:right w:val="none" w:sz="0" w:space="0" w:color="auto"/>
          </w:divBdr>
          <w:divsChild>
            <w:div w:id="11227625">
              <w:marLeft w:val="0"/>
              <w:marRight w:val="0"/>
              <w:marTop w:val="0"/>
              <w:marBottom w:val="0"/>
              <w:divBdr>
                <w:top w:val="none" w:sz="0" w:space="0" w:color="auto"/>
                <w:left w:val="none" w:sz="0" w:space="0" w:color="auto"/>
                <w:bottom w:val="none" w:sz="0" w:space="0" w:color="auto"/>
                <w:right w:val="none" w:sz="0" w:space="0" w:color="auto"/>
              </w:divBdr>
              <w:divsChild>
                <w:div w:id="10809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7768">
          <w:marLeft w:val="0"/>
          <w:marRight w:val="0"/>
          <w:marTop w:val="0"/>
          <w:marBottom w:val="0"/>
          <w:divBdr>
            <w:top w:val="none" w:sz="0" w:space="0" w:color="auto"/>
            <w:left w:val="none" w:sz="0" w:space="0" w:color="auto"/>
            <w:bottom w:val="none" w:sz="0" w:space="0" w:color="auto"/>
            <w:right w:val="none" w:sz="0" w:space="0" w:color="auto"/>
          </w:divBdr>
        </w:div>
        <w:div w:id="156757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dc:description/>
  <cp:lastModifiedBy>Nagao</cp:lastModifiedBy>
  <cp:revision>2</cp:revision>
  <cp:lastPrinted>2017-09-23T01:23:00Z</cp:lastPrinted>
  <dcterms:created xsi:type="dcterms:W3CDTF">2017-09-23T23:13:00Z</dcterms:created>
  <dcterms:modified xsi:type="dcterms:W3CDTF">2017-09-23T23:13:00Z</dcterms:modified>
</cp:coreProperties>
</file>